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C2FF" w14:textId="77777777" w:rsidR="00001FA7" w:rsidRDefault="00001FA7" w:rsidP="00001FA7">
      <w:pPr>
        <w:pStyle w:val="isselectedend"/>
        <w:jc w:val="center"/>
      </w:pPr>
      <w:r>
        <w:rPr>
          <w:rStyle w:val="Forte"/>
          <w:rFonts w:eastAsiaTheme="majorEastAsia"/>
        </w:rPr>
        <w:t>NOTA OFICIAL DE ESCLARECIMENTO</w:t>
      </w:r>
    </w:p>
    <w:p w14:paraId="077FA108" w14:textId="22CE30B7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O ex-prefeito de Sena Madureira, </w:t>
      </w:r>
      <w:r>
        <w:rPr>
          <w:rStyle w:val="Forte"/>
          <w:rFonts w:eastAsiaTheme="majorEastAsia"/>
        </w:rPr>
        <w:t>Osmar Serafim de Andrade (Mazinho Serafim)</w:t>
      </w:r>
      <w:r>
        <w:t xml:space="preserve">, </w:t>
      </w:r>
      <w:r>
        <w:rPr>
          <w:rStyle w:val="Forte"/>
          <w:rFonts w:eastAsiaTheme="majorEastAsia"/>
        </w:rPr>
        <w:t>pré-candidato a Deputado Federal</w:t>
      </w:r>
      <w:r>
        <w:t xml:space="preserve">, por meio desta Nota Oficial, vem a público </w:t>
      </w:r>
      <w:r>
        <w:rPr>
          <w:rStyle w:val="Forte"/>
          <w:rFonts w:eastAsiaTheme="majorEastAsia"/>
        </w:rPr>
        <w:t>rechaçar e desmentir</w:t>
      </w:r>
      <w:r>
        <w:t xml:space="preserve"> as informações veiculadas pelo site </w:t>
      </w:r>
      <w:proofErr w:type="spellStart"/>
      <w:r>
        <w:rPr>
          <w:rStyle w:val="nfase"/>
          <w:rFonts w:eastAsiaTheme="majorEastAsia"/>
        </w:rPr>
        <w:t>Yaco</w:t>
      </w:r>
      <w:proofErr w:type="spellEnd"/>
      <w:r>
        <w:rPr>
          <w:rStyle w:val="nfase"/>
          <w:rFonts w:eastAsiaTheme="majorEastAsia"/>
        </w:rPr>
        <w:t xml:space="preserve"> News</w:t>
      </w:r>
      <w:r>
        <w:t xml:space="preserve"> na matéria que trata de supostas “condenações definitivas” no Tribunal de Contas do Estado do Acre (TCE-AC) e de eventual risco de inelegibilidade para as eleições de 2026.</w:t>
      </w:r>
    </w:p>
    <w:p w14:paraId="46517511" w14:textId="613C2E33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A referida matéria </w:t>
      </w:r>
      <w:r>
        <w:rPr>
          <w:rStyle w:val="Forte"/>
          <w:rFonts w:eastAsiaTheme="majorEastAsia"/>
        </w:rPr>
        <w:t>carece de precisão técnica e jurídica</w:t>
      </w:r>
      <w:r>
        <w:t xml:space="preserve">, ao induzir o leitor à equivocada conclusão de que multas administrativas aplicadas pelo TCE-AC teriam o condão de gerar inelegibilidade eleitoral, o que </w:t>
      </w:r>
      <w:r>
        <w:rPr>
          <w:rStyle w:val="Forte"/>
          <w:rFonts w:eastAsiaTheme="majorEastAsia"/>
        </w:rPr>
        <w:t>não corresponde à realidade dos fatos nem ao ordenamento jurídico vigente</w:t>
      </w:r>
      <w:r>
        <w:t>.</w:t>
      </w:r>
    </w:p>
    <w:p w14:paraId="3E04D9C1" w14:textId="071C0066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As penalidades mencionadas dizem respeito </w:t>
      </w:r>
      <w:r>
        <w:rPr>
          <w:rStyle w:val="Forte"/>
          <w:rFonts w:eastAsiaTheme="majorEastAsia"/>
        </w:rPr>
        <w:t>exclusivamente à aplicação de multas administrativas</w:t>
      </w:r>
      <w:r>
        <w:t xml:space="preserve"> decorrentes do </w:t>
      </w:r>
      <w:r>
        <w:rPr>
          <w:rStyle w:val="Forte"/>
          <w:rFonts w:eastAsiaTheme="majorEastAsia"/>
        </w:rPr>
        <w:t>envio intempestivo de relatórios contábeis</w:t>
      </w:r>
      <w:r>
        <w:t xml:space="preserve">, conforme previsão da </w:t>
      </w:r>
      <w:r>
        <w:rPr>
          <w:rStyle w:val="Forte"/>
          <w:rFonts w:eastAsiaTheme="majorEastAsia"/>
        </w:rPr>
        <w:t>Resolução nº 87 do TCE-AC</w:t>
      </w:r>
      <w:r>
        <w:t xml:space="preserve">, não se tratando, em hipótese alguma, de </w:t>
      </w:r>
      <w:r>
        <w:rPr>
          <w:rStyle w:val="Forte"/>
          <w:rFonts w:eastAsiaTheme="majorEastAsia"/>
        </w:rPr>
        <w:t>julgamento ou rejeição de contas anuais de governo ou de gestão</w:t>
      </w:r>
      <w:r>
        <w:t>.</w:t>
      </w:r>
    </w:p>
    <w:p w14:paraId="5B228D04" w14:textId="6AB19535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Ressalte-se, ainda, que os atrasos ocorreram em razão de </w:t>
      </w:r>
      <w:r>
        <w:rPr>
          <w:rStyle w:val="Forte"/>
          <w:rFonts w:eastAsiaTheme="majorEastAsia"/>
        </w:rPr>
        <w:t>problemas técnicos no sistema eletrônico de transmissão</w:t>
      </w:r>
      <w:r>
        <w:t>, circunstância que inviabilizou o envio dentro do prazo regulamentar, inexistindo qualquer conduta dolosa, má-fé, desvio de recursos públicos ou dano ao erário.</w:t>
      </w:r>
    </w:p>
    <w:p w14:paraId="5788AC5E" w14:textId="04977E6B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É juridicamente incorreto afirmar que tais multas possam gerar inelegibilidade. A legislação eleitoral, em especial a </w:t>
      </w:r>
      <w:r>
        <w:rPr>
          <w:rStyle w:val="Forte"/>
          <w:rFonts w:eastAsiaTheme="majorEastAsia"/>
        </w:rPr>
        <w:t>Lei Complementar nº 64/1990 (Lei da Ficha Limpa)</w:t>
      </w:r>
      <w:r>
        <w:t xml:space="preserve">, exige, para configuração de inelegibilidade, a </w:t>
      </w:r>
      <w:r>
        <w:rPr>
          <w:rStyle w:val="Forte"/>
          <w:rFonts w:eastAsiaTheme="majorEastAsia"/>
        </w:rPr>
        <w:t>rejeição de contas anuais por irregularidade insanável e ato doloso que resulte em dano ao erário</w:t>
      </w:r>
      <w:r>
        <w:t xml:space="preserve">, o que </w:t>
      </w:r>
      <w:r>
        <w:rPr>
          <w:rStyle w:val="Forte"/>
          <w:rFonts w:eastAsiaTheme="majorEastAsia"/>
        </w:rPr>
        <w:t>não ocorreu</w:t>
      </w:r>
      <w:r>
        <w:t xml:space="preserve"> nos casos citados.</w:t>
      </w:r>
    </w:p>
    <w:p w14:paraId="06348BBA" w14:textId="409BBFFC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  <w:t xml:space="preserve"> </w:t>
      </w:r>
      <w:r>
        <w:t xml:space="preserve">As decisões do Tribunal de Contas possuem natureza </w:t>
      </w:r>
      <w:r>
        <w:rPr>
          <w:rStyle w:val="Forte"/>
          <w:rFonts w:eastAsiaTheme="majorEastAsia"/>
        </w:rPr>
        <w:t>estritamente administrativa</w:t>
      </w:r>
      <w:r>
        <w:t xml:space="preserve">, não retiram direitos políticos e </w:t>
      </w:r>
      <w:r>
        <w:rPr>
          <w:rStyle w:val="Forte"/>
          <w:rFonts w:eastAsiaTheme="majorEastAsia"/>
        </w:rPr>
        <w:t>não produzem efeitos automáticos na esfera eleitoral</w:t>
      </w:r>
      <w:r>
        <w:t>, sendo a análise de eventual elegibilidade matéria de competência exclusiva da Justiça Eleitoral, no momento legal oportuno.</w:t>
      </w:r>
    </w:p>
    <w:p w14:paraId="28E1217C" w14:textId="7B224784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O pré-candidato </w:t>
      </w:r>
      <w:r>
        <w:rPr>
          <w:rStyle w:val="Forte"/>
          <w:rFonts w:eastAsiaTheme="majorEastAsia"/>
        </w:rPr>
        <w:t>confia plenamente na Justiça</w:t>
      </w:r>
      <w:r>
        <w:t xml:space="preserve">, na legalidade de seus atos e na correção de sua trajetória pública. Matérias dessa natureza, desprovidas de fundamento jurídico consistente, </w:t>
      </w:r>
      <w:r>
        <w:rPr>
          <w:rStyle w:val="Forte"/>
          <w:rFonts w:eastAsiaTheme="majorEastAsia"/>
        </w:rPr>
        <w:t>apenas evidenciam o desespero de adversários políticos</w:t>
      </w:r>
      <w:r>
        <w:t>, que tentam, por meio de desinformação, criar fatos inexistentes para confundir a opinião pública.</w:t>
      </w:r>
    </w:p>
    <w:p w14:paraId="5FCE4D63" w14:textId="3DBDC05B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 xml:space="preserve">Diante disso, resta evidente que a matéria publicada extrapola os limites da informação responsável, </w:t>
      </w:r>
      <w:r>
        <w:rPr>
          <w:rStyle w:val="Forte"/>
          <w:rFonts w:eastAsiaTheme="majorEastAsia"/>
        </w:rPr>
        <w:t>deturpa conceitos jurídicos</w:t>
      </w:r>
      <w:r>
        <w:t xml:space="preserve"> e divulga conclusões </w:t>
      </w:r>
      <w:r>
        <w:rPr>
          <w:rStyle w:val="Forte"/>
          <w:rFonts w:eastAsiaTheme="majorEastAsia"/>
        </w:rPr>
        <w:t>manifestamente infundadas</w:t>
      </w:r>
      <w:r>
        <w:t>, motivo pelo qual este esclarecimento se faz necessário para restabelecer a verdade dos fatos.</w:t>
      </w:r>
    </w:p>
    <w:p w14:paraId="087BC9C7" w14:textId="042C43E3" w:rsidR="00001FA7" w:rsidRDefault="00001FA7" w:rsidP="00001FA7">
      <w:pPr>
        <w:pStyle w:val="isselectedend"/>
        <w:jc w:val="both"/>
      </w:pPr>
      <w:r>
        <w:t xml:space="preserve"> </w:t>
      </w:r>
      <w:r>
        <w:tab/>
      </w:r>
      <w:r>
        <w:tab/>
      </w:r>
      <w:r>
        <w:t>Por fim, reafirma-se o compromisso com a transparência, a legalidade, o respeito às instituições e à democracia, repudiando qualquer tentativa de manipulação política travestida de notícia.</w:t>
      </w:r>
    </w:p>
    <w:p w14:paraId="0FF87F9C" w14:textId="77777777" w:rsidR="00001FA7" w:rsidRDefault="00001FA7" w:rsidP="00001FA7">
      <w:pPr>
        <w:pStyle w:val="isselectedend"/>
        <w:jc w:val="both"/>
      </w:pPr>
      <w:r>
        <w:t xml:space="preserve">Sena Madureira/AC, ___ de __________ </w:t>
      </w:r>
      <w:proofErr w:type="spellStart"/>
      <w:r>
        <w:t>de</w:t>
      </w:r>
      <w:proofErr w:type="spellEnd"/>
      <w:r>
        <w:t xml:space="preserve"> 2026.</w:t>
      </w:r>
    </w:p>
    <w:p w14:paraId="4B442C82" w14:textId="77777777" w:rsidR="00001FA7" w:rsidRDefault="00001FA7" w:rsidP="00001FA7">
      <w:pPr>
        <w:pStyle w:val="NormalWeb"/>
        <w:jc w:val="both"/>
      </w:pPr>
      <w:r>
        <w:rPr>
          <w:rStyle w:val="Forte"/>
          <w:rFonts w:eastAsiaTheme="majorEastAsia"/>
        </w:rPr>
        <w:lastRenderedPageBreak/>
        <w:t>Osmar Serafim de Andrade</w:t>
      </w:r>
      <w:r>
        <w:br/>
        <w:t>Pré-candidato a Deputado Federal</w:t>
      </w:r>
      <w:r>
        <w:br/>
        <w:t>Ex-Prefeito de Sena Madureira</w:t>
      </w:r>
    </w:p>
    <w:p w14:paraId="3B111B35" w14:textId="77777777" w:rsidR="00001FA7" w:rsidRDefault="00001FA7"/>
    <w:sectPr w:rsidR="00001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5FD"/>
    <w:multiLevelType w:val="multilevel"/>
    <w:tmpl w:val="C0E6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A7"/>
    <w:rsid w:val="00001FA7"/>
    <w:rsid w:val="00B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A5CC"/>
  <w15:chartTrackingRefBased/>
  <w15:docId w15:val="{BF2C27A0-AF96-D545-8135-011BA6AE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F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F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F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F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F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F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F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FA7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00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01FA7"/>
    <w:rPr>
      <w:b/>
      <w:bCs/>
    </w:rPr>
  </w:style>
  <w:style w:type="character" w:styleId="nfase">
    <w:name w:val="Emphasis"/>
    <w:basedOn w:val="Fontepargpadro"/>
    <w:uiPriority w:val="20"/>
    <w:qFormat/>
    <w:rsid w:val="00001FA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2026-01-20T01:29:00Z</dcterms:created>
  <dcterms:modified xsi:type="dcterms:W3CDTF">2026-01-20T01:31:00Z</dcterms:modified>
</cp:coreProperties>
</file>